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FBEF6" w14:textId="4351413E" w:rsidR="00BC6C0E" w:rsidRDefault="00BE3B16" w:rsidP="00BE3B16">
      <w:pPr>
        <w:jc w:val="center"/>
        <w:rPr>
          <w:b/>
          <w:bCs/>
          <w:sz w:val="28"/>
          <w:szCs w:val="28"/>
          <w:lang w:val="es-MX"/>
        </w:rPr>
      </w:pPr>
      <w:r w:rsidRPr="00BE3B16">
        <w:rPr>
          <w:b/>
          <w:bCs/>
          <w:sz w:val="28"/>
          <w:szCs w:val="28"/>
          <w:lang w:val="es-MX"/>
        </w:rPr>
        <w:t>ROLLO LEGENDARIO 02 JUNIO 2026</w:t>
      </w:r>
    </w:p>
    <w:p w14:paraId="133293DB" w14:textId="77777777" w:rsidR="00BE3B16" w:rsidRDefault="00BE3B16" w:rsidP="00BE3B16">
      <w:pPr>
        <w:jc w:val="center"/>
        <w:rPr>
          <w:b/>
          <w:bCs/>
          <w:sz w:val="28"/>
          <w:szCs w:val="28"/>
          <w:lang w:val="es-MX"/>
        </w:rPr>
      </w:pPr>
    </w:p>
    <w:p w14:paraId="539A5B0B" w14:textId="77777777" w:rsidR="00BE3B16" w:rsidRPr="00BE3B16" w:rsidRDefault="00BE3B16" w:rsidP="00BE3B16">
      <w:pPr>
        <w:jc w:val="both"/>
        <w:rPr>
          <w:sz w:val="28"/>
          <w:szCs w:val="28"/>
          <w:lang w:val="es-MX"/>
        </w:rPr>
      </w:pPr>
    </w:p>
    <w:p w14:paraId="7A5EA4CE" w14:textId="77777777" w:rsidR="00BE3B16" w:rsidRPr="00BE3B16" w:rsidRDefault="00BE3B16" w:rsidP="00BE3B16">
      <w:pPr>
        <w:jc w:val="both"/>
      </w:pPr>
      <w:r w:rsidRPr="00BE3B16">
        <w:t>La ausencia del puente ubicado sobre la calle 64 en el cruce con el río Bogotá continúa representando una problemática significativa para la movilidad y la conectividad de los habitantes del sector, generando afectaciones en los tiempos de desplazamiento, limitaciones en la accesibilidad entre sectores aledaños y restricciones para la circulación segura de peatones y vehículos. Esta situación ha motivado la gestión permanente por parte de la Administración Local, orientada a identificar alternativas técnicas y financieras que permitan restablecer la conectividad de este corredor estratégico para la localidad. En este contexto, se han adelantado diversas gestiones interinstitucionales, incluyendo mesas de trabajo y reuniones técnicas con el Instituto de Desarrollo Urbano – IDU, entidad que actualmente se encuentra desarrollando los estudios y diseños requeridos para la cimentación e implementación definitiva de la estructura. De acuerdo con la programación establecida por dicha entidad, los estudios y diseños definitivos serán entregados al finalizar el mes de junio de la presente vigencia, constituyéndose en un insumo fundamental para la definición del alcance técnico, costos y cronograma de ejecución del proyecto.</w:t>
      </w:r>
    </w:p>
    <w:p w14:paraId="1BE57E5B" w14:textId="545DBA53" w:rsidR="00BE3B16" w:rsidRPr="00BE3B16" w:rsidRDefault="00BE3B16" w:rsidP="00BE3B16">
      <w:pPr>
        <w:jc w:val="both"/>
      </w:pPr>
      <w:r w:rsidRPr="00BE3B16">
        <w:t xml:space="preserve">De manera complementaria, se han realizado acercamientos técnicos con el Instituto Distrital de Gestión de Riesgos y Cambio Climático – IDIGER y el Fondo Distrital para la Gestión de Riesgos y Cambio Climático – FONDIGER, con el propósito de conocer la estructura metodológica, documental y procedimental requerida para la presentación de proyectos susceptibles de financiación a través de dicho fondo. En el marco de estas reuniones se socializaron los lineamientos técnicos y administrativos para la formulación de la iniciativa, así como los documentos mínimos exigidos para su radicación y evaluación, entre los que se encuentran la hoja de vida de indicadores de impacto, producto y gestión, el estudio de mercado con sus respectivas cotizaciones, el presupuesto, el flujo de caja, el anexo técnico, el documento de proyecto y el análisis del sector. Particularmente, se </w:t>
      </w:r>
      <w:r>
        <w:t>hace énfasis</w:t>
      </w:r>
      <w:r w:rsidRPr="00BE3B16">
        <w:t xml:space="preserve"> en la necesidad de gestionar de manera prioritaria las cotizaciones requeridas, toda vez que estas constituyen un insumo esencial para la estructuración de los componentes técnicos y financieros del proyecto. Asimismo, se precisó que la propuesta deberá formularse bajo el alcance específico de la adquisición, suministro, transporte, montaje y puesta en operación de un puente metálico militar o de campaña, contemplando las actividades complementarias necesarias para garantizar su adecuada instalación, funcionalidad y sostenibilidad.</w:t>
      </w:r>
    </w:p>
    <w:p w14:paraId="1546B26F" w14:textId="77777777" w:rsidR="00BE3B16" w:rsidRPr="00BE3B16" w:rsidRDefault="00BE3B16" w:rsidP="00BE3B16">
      <w:pPr>
        <w:jc w:val="center"/>
        <w:rPr>
          <w:b/>
          <w:bCs/>
        </w:rPr>
      </w:pPr>
    </w:p>
    <w:sectPr w:rsidR="00BE3B16" w:rsidRPr="00BE3B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B16"/>
    <w:rsid w:val="000C49E1"/>
    <w:rsid w:val="006474DB"/>
    <w:rsid w:val="009C3DDC"/>
    <w:rsid w:val="00BC6C0E"/>
    <w:rsid w:val="00BE3B16"/>
    <w:rsid w:val="00C0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9E6A6"/>
  <w15:chartTrackingRefBased/>
  <w15:docId w15:val="{FED613FC-112D-422E-977D-66A795B5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E3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E3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E3B1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E3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E3B1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E3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E3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E3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E3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E3B1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E3B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E3B1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E3B16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E3B16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E3B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E3B1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E3B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E3B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E3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E3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E3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E3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E3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E3B1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E3B1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E3B16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E3B1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E3B16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E3B1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414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Jurídica Engativa</dc:creator>
  <cp:keywords/>
  <dc:description/>
  <cp:lastModifiedBy>Jurídica Engativa</cp:lastModifiedBy>
  <cp:revision>1</cp:revision>
  <dcterms:created xsi:type="dcterms:W3CDTF">2026-06-02T20:17:00Z</dcterms:created>
  <dcterms:modified xsi:type="dcterms:W3CDTF">2026-06-02T20:40:00Z</dcterms:modified>
</cp:coreProperties>
</file>